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6046" w:right="1040" w:firstLine="2716.999999999999"/>
        <w:jc w:val="both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6046" w:right="4" w:hanging="3636"/>
        <w:jc w:val="right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Załącznik nr 1 do Procedury oceny i wyboru operacji własnych LGD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5.0" w:type="dxa"/>
        <w:jc w:val="left"/>
        <w:tblInd w:w="-71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597"/>
        <w:gridCol w:w="1843"/>
        <w:gridCol w:w="6239"/>
        <w:gridCol w:w="991"/>
        <w:gridCol w:w="925"/>
        <w:tblGridChange w:id="0">
          <w:tblGrid>
            <w:gridCol w:w="597"/>
            <w:gridCol w:w="1843"/>
            <w:gridCol w:w="6239"/>
            <w:gridCol w:w="991"/>
            <w:gridCol w:w="925"/>
          </w:tblGrid>
        </w:tblGridChange>
      </w:tblGrid>
      <w:tr>
        <w:trPr>
          <w:trHeight w:val="769" w:hRule="atLeast"/>
        </w:trPr>
        <w:tc>
          <w:tcPr>
            <w:gridSpan w:val="5"/>
            <w:shd w:fill="418fcf" w:val="clear"/>
          </w:tcPr>
          <w:p w:rsidR="00000000" w:rsidDel="00000000" w:rsidP="00000000" w:rsidRDefault="00000000" w:rsidRPr="00000000" w14:paraId="00000004">
            <w:pPr>
              <w:ind w:left="3269" w:firstLine="0"/>
              <w:jc w:val="both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rtl w:val="0"/>
              </w:rPr>
              <w:t xml:space="preserve">Karta oceny zgodności z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spacing w:before="3" w:lineRule="auto"/>
              <w:ind w:left="10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Nr wniosku</w:t>
            </w:r>
          </w:p>
          <w:p w:rsidR="00000000" w:rsidDel="00000000" w:rsidP="00000000" w:rsidRDefault="00000000" w:rsidRPr="00000000" w14:paraId="0000000A">
            <w:pPr>
              <w:spacing w:before="3" w:lineRule="auto"/>
              <w:ind w:left="103" w:firstLine="0"/>
              <w:jc w:val="both"/>
              <w:rPr>
                <w:rFonts w:ascii="Tahoma" w:cs="Tahoma" w:eastAsia="Tahoma" w:hAnsi="Tahoma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9"/>
                <w:szCs w:val="19"/>
                <w:rtl w:val="0"/>
              </w:rPr>
              <w:t xml:space="preserve">(nadany przez Biuro LGD):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F">
            <w:pPr>
              <w:spacing w:before="81" w:lineRule="auto"/>
              <w:ind w:left="10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Tytuł zadania: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spacing w:before="81" w:lineRule="auto"/>
              <w:ind w:left="10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Wnioskodawca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9">
            <w:pPr>
              <w:spacing w:before="84" w:lineRule="auto"/>
              <w:ind w:left="10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Przedsięwzięcie 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E">
            <w:pPr>
              <w:spacing w:before="81" w:lineRule="auto"/>
              <w:ind w:left="10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Cel szczegółowy: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spacing w:before="81" w:lineRule="auto"/>
              <w:ind w:left="10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Cel ogólny: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46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2D">
            <w:pPr>
              <w:spacing w:before="9" w:lineRule="auto"/>
              <w:jc w:val="both"/>
              <w:rPr>
                <w:rFonts w:ascii="Tahoma" w:cs="Tahoma" w:eastAsia="Tahoma" w:hAnsi="Tahom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wniosek został złożony w miejscu i terminie wskazanym w ogłoszeniu o naborze i</w:t>
            </w:r>
          </w:p>
          <w:p w:rsidR="00000000" w:rsidDel="00000000" w:rsidP="00000000" w:rsidRDefault="00000000" w:rsidRPr="00000000" w14:paraId="0000002F">
            <w:pPr>
              <w:spacing w:before="22" w:lineRule="auto"/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 został wycofany?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13" w:lineRule="auto"/>
              <w:ind w:left="285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13" w:lineRule="auto"/>
              <w:ind w:left="28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653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before="11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tabs>
                <w:tab w:val="left" w:pos="518"/>
                <w:tab w:val="left" w:pos="519"/>
              </w:tabs>
              <w:ind w:left="518" w:hanging="41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 dotyczy</w:t>
            </w:r>
          </w:p>
        </w:tc>
      </w:tr>
      <w:tr>
        <w:trPr>
          <w:trHeight w:val="96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Uzasadnienie: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4" w:lineRule="auto"/>
              <w:jc w:val="both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zakres tematyczny operacji jest zgodny z tematycznym zakresem operacji</w:t>
            </w:r>
          </w:p>
          <w:p w:rsidR="00000000" w:rsidDel="00000000" w:rsidP="00000000" w:rsidRDefault="00000000" w:rsidRPr="00000000" w14:paraId="00000048">
            <w:pPr>
              <w:spacing w:before="22" w:lineRule="auto"/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wskazanym w ogłoszeniu o naborze?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113" w:lineRule="auto"/>
              <w:ind w:left="285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113" w:lineRule="auto"/>
              <w:ind w:left="28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65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spacing w:before="1" w:lineRule="auto"/>
              <w:jc w:val="both"/>
              <w:rPr>
                <w:rFonts w:ascii="Tahoma" w:cs="Tahoma" w:eastAsia="Tahoma" w:hAnsi="Tahoma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ind w:left="518" w:hanging="41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 dotyczy</w:t>
            </w:r>
          </w:p>
        </w:tc>
      </w:tr>
      <w:tr>
        <w:trPr>
          <w:trHeight w:val="653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09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Uzasadnienie: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spacing w:before="7" w:lineRule="auto"/>
              <w:jc w:val="both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C">
            <w:pPr>
              <w:spacing w:line="259" w:lineRule="auto"/>
              <w:ind w:left="103" w:right="196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operacja zakłada realizację: jednego celu ogólnego i jednego celu szczegółowego, przez osiąganie zaplanowanych w LSR wskaźników,</w:t>
            </w:r>
          </w:p>
          <w:p w:rsidR="00000000" w:rsidDel="00000000" w:rsidP="00000000" w:rsidRDefault="00000000" w:rsidRPr="00000000" w14:paraId="0000005D">
            <w:pPr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 tym: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4" w:lineRule="auto"/>
              <w:jc w:val="both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285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4" w:lineRule="auto"/>
              <w:jc w:val="both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287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71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spacing w:before="11" w:lineRule="auto"/>
              <w:jc w:val="both"/>
              <w:rPr>
                <w:rFonts w:ascii="Tahoma" w:cs="Tahoma" w:eastAsia="Tahoma" w:hAnsi="Tahom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3.1.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5">
            <w:pPr>
              <w:spacing w:before="3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Czy operacja zakłada realizację przedsięwzięć LSR poprzez osiąganie zaplanowanych w LSR wskaźników produktu?</w:t>
            </w:r>
          </w:p>
          <w:p w:rsidR="00000000" w:rsidDel="00000000" w:rsidP="00000000" w:rsidRDefault="00000000" w:rsidRPr="00000000" w14:paraId="00000066">
            <w:pPr>
              <w:spacing w:before="4" w:lineRule="auto"/>
              <w:jc w:val="both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6099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(Poniżej wpisać odpowiedni wskaźnik produktu)</w:t>
            </w:r>
          </w:p>
        </w:tc>
      </w:tr>
      <w:tr>
        <w:trPr>
          <w:trHeight w:val="65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111" w:lineRule="auto"/>
              <w:ind w:left="24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111" w:lineRule="auto"/>
              <w:ind w:left="249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8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3.2.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4">
            <w:pPr>
              <w:spacing w:before="57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Czy operacja zakłada realizację celów szczegółowych LSR poprzez osiąganie zaplanowanych w LSR wskaźników rezultatu?</w:t>
            </w:r>
          </w:p>
          <w:p w:rsidR="00000000" w:rsidDel="00000000" w:rsidP="00000000" w:rsidRDefault="00000000" w:rsidRPr="00000000" w14:paraId="00000075">
            <w:pPr>
              <w:spacing w:before="4" w:lineRule="auto"/>
              <w:jc w:val="both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611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(Poniżej wpisać odpowiedni wskaźnik rezultatu)</w:t>
            </w:r>
          </w:p>
        </w:tc>
      </w:tr>
      <w:tr>
        <w:trPr>
          <w:trHeight w:val="69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128" w:lineRule="auto"/>
              <w:ind w:left="24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128" w:lineRule="auto"/>
              <w:ind w:left="249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81">
      <w:pPr>
        <w:jc w:val="both"/>
        <w:rPr>
          <w:sz w:val="18"/>
          <w:szCs w:val="18"/>
        </w:rPr>
        <w:sectPr>
          <w:footerReference r:id="rId7" w:type="default"/>
          <w:pgSz w:h="16840" w:w="11910"/>
          <w:pgMar w:bottom="1417" w:top="709" w:left="1417" w:right="1417" w:header="307" w:footer="292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6100317</wp:posOffset>
            </wp:positionH>
            <wp:positionV relativeFrom="page">
              <wp:posOffset>1321561</wp:posOffset>
            </wp:positionV>
            <wp:extent cx="170687" cy="128016"/>
            <wp:effectExtent b="0" l="0" r="0" t="0"/>
            <wp:wrapNone/>
            <wp:docPr id="5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6731254</wp:posOffset>
            </wp:positionH>
            <wp:positionV relativeFrom="page">
              <wp:posOffset>1321561</wp:posOffset>
            </wp:positionV>
            <wp:extent cx="170688" cy="128016"/>
            <wp:effectExtent b="0" l="0" r="0" t="0"/>
            <wp:wrapNone/>
            <wp:docPr id="5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6309105</wp:posOffset>
            </wp:positionH>
            <wp:positionV relativeFrom="page">
              <wp:posOffset>1618741</wp:posOffset>
            </wp:positionV>
            <wp:extent cx="115824" cy="137159"/>
            <wp:effectExtent b="0" l="0" r="0" t="0"/>
            <wp:wrapNone/>
            <wp:docPr id="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37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6100317</wp:posOffset>
            </wp:positionH>
            <wp:positionV relativeFrom="page">
              <wp:posOffset>1966212</wp:posOffset>
            </wp:positionV>
            <wp:extent cx="170687" cy="128016"/>
            <wp:effectExtent b="0" l="0" r="0" t="0"/>
            <wp:wrapNone/>
            <wp:docPr id="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6731254</wp:posOffset>
            </wp:positionH>
            <wp:positionV relativeFrom="page">
              <wp:posOffset>1966212</wp:posOffset>
            </wp:positionV>
            <wp:extent cx="170688" cy="128016"/>
            <wp:effectExtent b="0" l="0" r="0" t="0"/>
            <wp:wrapNone/>
            <wp:docPr id="5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6100317</wp:posOffset>
            </wp:positionH>
            <wp:positionV relativeFrom="page">
              <wp:posOffset>2339593</wp:posOffset>
            </wp:positionV>
            <wp:extent cx="170687" cy="128016"/>
            <wp:effectExtent b="0" l="0" r="0" t="0"/>
            <wp:wrapNone/>
            <wp:docPr id="5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6731254</wp:posOffset>
            </wp:positionH>
            <wp:positionV relativeFrom="page">
              <wp:posOffset>2339593</wp:posOffset>
            </wp:positionV>
            <wp:extent cx="170688" cy="128016"/>
            <wp:effectExtent b="0" l="0" r="0" t="0"/>
            <wp:wrapNone/>
            <wp:docPr id="5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6100317</wp:posOffset>
            </wp:positionH>
            <wp:positionV relativeFrom="page">
              <wp:posOffset>2712973</wp:posOffset>
            </wp:positionV>
            <wp:extent cx="170687" cy="128016"/>
            <wp:effectExtent b="0" l="0" r="0" t="0"/>
            <wp:wrapNone/>
            <wp:docPr id="5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6731254</wp:posOffset>
            </wp:positionH>
            <wp:positionV relativeFrom="page">
              <wp:posOffset>2712973</wp:posOffset>
            </wp:positionV>
            <wp:extent cx="170688" cy="128016"/>
            <wp:effectExtent b="0" l="0" r="0" t="0"/>
            <wp:wrapNone/>
            <wp:docPr id="5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6100317</wp:posOffset>
            </wp:positionH>
            <wp:positionV relativeFrom="page">
              <wp:posOffset>3080638</wp:posOffset>
            </wp:positionV>
            <wp:extent cx="115824" cy="137159"/>
            <wp:effectExtent b="0" l="0" r="0" t="0"/>
            <wp:wrapNone/>
            <wp:docPr id="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37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6731254</wp:posOffset>
            </wp:positionH>
            <wp:positionV relativeFrom="page">
              <wp:posOffset>3080638</wp:posOffset>
            </wp:positionV>
            <wp:extent cx="115824" cy="137159"/>
            <wp:effectExtent b="0" l="0" r="0" t="0"/>
            <wp:wrapNone/>
            <wp:docPr id="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37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6309105</wp:posOffset>
            </wp:positionH>
            <wp:positionV relativeFrom="page">
              <wp:posOffset>3463161</wp:posOffset>
            </wp:positionV>
            <wp:extent cx="115824" cy="137159"/>
            <wp:effectExtent b="0" l="0" r="0" t="0"/>
            <wp:wrapNone/>
            <wp:docPr id="4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37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565.0" w:type="dxa"/>
        <w:jc w:val="left"/>
        <w:tblInd w:w="-5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567"/>
        <w:gridCol w:w="8082"/>
        <w:gridCol w:w="991"/>
        <w:gridCol w:w="925"/>
        <w:tblGridChange w:id="0">
          <w:tblGrid>
            <w:gridCol w:w="567"/>
            <w:gridCol w:w="8082"/>
            <w:gridCol w:w="991"/>
            <w:gridCol w:w="925"/>
          </w:tblGrid>
        </w:tblGridChange>
      </w:tblGrid>
      <w:tr>
        <w:trPr>
          <w:trHeight w:val="831" w:hRule="atLeast"/>
        </w:trPr>
        <w:tc>
          <w:tcPr>
            <w:gridSpan w:val="4"/>
          </w:tcPr>
          <w:p w:rsidR="00000000" w:rsidDel="00000000" w:rsidP="00000000" w:rsidRDefault="00000000" w:rsidRPr="00000000" w14:paraId="00000083">
            <w:pPr>
              <w:spacing w:before="60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Uzasadnienie zgodności z celami i przedsięwzięciami LSR:</w:t>
            </w:r>
          </w:p>
        </w:tc>
      </w:tr>
      <w:tr>
        <w:trPr>
          <w:trHeight w:val="473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140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89">
            <w:pPr>
              <w:spacing w:before="2" w:lineRule="auto"/>
              <w:jc w:val="both"/>
              <w:rPr>
                <w:rFonts w:ascii="Tahoma" w:cs="Tahoma" w:eastAsia="Tahoma" w:hAnsi="Tahoma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operacja jest zgodna z PROGRAMEM*, w tym: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9" w:lineRule="auto"/>
              <w:jc w:val="both"/>
              <w:rPr>
                <w:rFonts w:ascii="Tahoma" w:cs="Tahoma" w:eastAsia="Tahoma" w:hAnsi="Tahom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before="1" w:lineRule="auto"/>
              <w:ind w:left="285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before="9" w:lineRule="auto"/>
              <w:jc w:val="both"/>
              <w:rPr>
                <w:rFonts w:ascii="Tahoma" w:cs="Tahoma" w:eastAsia="Tahoma" w:hAnsi="Tahom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before="1" w:lineRule="auto"/>
              <w:ind w:left="28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485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1" w:lineRule="auto"/>
              <w:ind w:left="576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nie dotyczy</w:t>
            </w:r>
          </w:p>
        </w:tc>
      </w:tr>
      <w:tr>
        <w:trPr>
          <w:trHeight w:val="58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spacing w:before="6" w:lineRule="auto"/>
              <w:jc w:val="both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4.1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spacing w:line="268" w:lineRule="auto"/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forma wsparcia operacji jest zgodna z formą wsparcia wskazaną w ogłoszeniu o</w:t>
            </w:r>
          </w:p>
          <w:p w:rsidR="00000000" w:rsidDel="00000000" w:rsidP="00000000" w:rsidRDefault="00000000" w:rsidRPr="00000000" w14:paraId="00000097">
            <w:pPr>
              <w:spacing w:before="22" w:lineRule="auto"/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naborze?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before="7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285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before="7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28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125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spacing w:before="4" w:lineRule="auto"/>
              <w:jc w:val="both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1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4.2.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E">
            <w:pPr>
              <w:spacing w:before="10" w:lineRule="auto"/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operacja jest zgodna z warunkami wyboru operacji obowiązującymi w ramach naboru (o ile w danym naborze dodatkowe warunki zostały wprowadzone).?</w:t>
            </w:r>
          </w:p>
          <w:p w:rsidR="00000000" w:rsidDel="00000000" w:rsidP="00000000" w:rsidRDefault="00000000" w:rsidRPr="00000000" w14:paraId="0000009F">
            <w:pPr>
              <w:ind w:left="10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/poniżej wskazać jakie?/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1" w:lineRule="auto"/>
              <w:ind w:left="285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before="1" w:lineRule="auto"/>
              <w:ind w:left="28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58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spacing w:before="4" w:lineRule="auto"/>
              <w:jc w:val="both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before="1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……..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1" w:lineRule="auto"/>
              <w:ind w:left="285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before="1" w:lineRule="auto"/>
              <w:ind w:left="28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587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10" w:lineRule="auto"/>
              <w:jc w:val="both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4.3.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before="10" w:lineRule="auto"/>
              <w:jc w:val="both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Czy operacja jest zgodna z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PROW na lata 2014-2020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? *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before="4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247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before="4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249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nie</w:t>
            </w:r>
          </w:p>
        </w:tc>
      </w:tr>
      <w:tr>
        <w:trPr>
          <w:trHeight w:val="614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before="7" w:lineRule="auto"/>
              <w:jc w:val="both"/>
              <w:rPr>
                <w:rFonts w:ascii="Tahoma" w:cs="Tahoma" w:eastAsia="Tahoma" w:hAnsi="Tahoma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576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nie dotyczy</w:t>
            </w:r>
          </w:p>
        </w:tc>
      </w:tr>
      <w:tr>
        <w:trPr>
          <w:trHeight w:val="830" w:hRule="atLeast"/>
        </w:trPr>
        <w:tc>
          <w:tcPr>
            <w:gridSpan w:val="4"/>
          </w:tcPr>
          <w:p w:rsidR="00000000" w:rsidDel="00000000" w:rsidP="00000000" w:rsidRDefault="00000000" w:rsidRPr="00000000" w14:paraId="000000BA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Uzasadnienie:</w:t>
            </w:r>
          </w:p>
        </w:tc>
      </w:tr>
    </w:tbl>
    <w:p w:rsidR="00000000" w:rsidDel="00000000" w:rsidP="00000000" w:rsidRDefault="00000000" w:rsidRPr="00000000" w14:paraId="000000BF">
      <w:pPr>
        <w:spacing w:after="1" w:before="5" w:lineRule="auto"/>
        <w:jc w:val="both"/>
        <w:rPr>
          <w:rFonts w:ascii="Tahoma" w:cs="Tahoma" w:eastAsia="Tahoma" w:hAnsi="Tahoma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5.0" w:type="dxa"/>
        <w:jc w:val="left"/>
        <w:tblInd w:w="-5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693"/>
        <w:gridCol w:w="7872"/>
        <w:tblGridChange w:id="0">
          <w:tblGrid>
            <w:gridCol w:w="2693"/>
            <w:gridCol w:w="7872"/>
          </w:tblGrid>
        </w:tblGridChange>
      </w:tblGrid>
      <w:tr>
        <w:trPr>
          <w:trHeight w:val="953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spacing w:before="10" w:lineRule="auto"/>
              <w:jc w:val="both"/>
              <w:rPr>
                <w:rFonts w:ascii="Tahoma" w:cs="Tahoma" w:eastAsia="Tahoma" w:hAnsi="Tahom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 związku z udzielonymi</w:t>
            </w:r>
          </w:p>
          <w:p w:rsidR="00000000" w:rsidDel="00000000" w:rsidP="00000000" w:rsidRDefault="00000000" w:rsidRPr="00000000" w14:paraId="000000C2">
            <w:pPr>
              <w:spacing w:before="18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powyżej odpowiedziami **: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2" w:lineRule="auto"/>
              <w:ind w:left="1401" w:right="1401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Głosuję za uznaniem, że zadanie jest zgodne z LSR</w:t>
            </w:r>
          </w:p>
          <w:p w:rsidR="00000000" w:rsidDel="00000000" w:rsidP="00000000" w:rsidRDefault="00000000" w:rsidRPr="00000000" w14:paraId="000000C4">
            <w:pPr>
              <w:spacing w:before="15" w:lineRule="auto"/>
              <w:ind w:left="1401" w:right="1402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/Głosuję za uznaniem, że zadanie nie jest zgodne z LSR</w:t>
            </w:r>
          </w:p>
          <w:p w:rsidR="00000000" w:rsidDel="00000000" w:rsidP="00000000" w:rsidRDefault="00000000" w:rsidRPr="00000000" w14:paraId="000000C5">
            <w:pPr>
              <w:spacing w:before="4" w:lineRule="auto"/>
              <w:jc w:val="both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before="1" w:lineRule="auto"/>
              <w:ind w:left="1401" w:right="1402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(niepotrzebne skreślić)</w:t>
            </w:r>
          </w:p>
        </w:tc>
      </w:tr>
      <w:tr>
        <w:trPr>
          <w:trHeight w:val="9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before="1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Uzasadnienie oceny zgodności</w:t>
            </w:r>
          </w:p>
          <w:p w:rsidR="00000000" w:rsidDel="00000000" w:rsidP="00000000" w:rsidRDefault="00000000" w:rsidRPr="00000000" w14:paraId="000000C9">
            <w:pPr>
              <w:spacing w:before="18" w:lineRule="auto"/>
              <w:ind w:left="103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z LSR: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spacing w:before="18" w:lineRule="auto"/>
              <w:ind w:left="141" w:right="143" w:firstLine="0"/>
              <w:jc w:val="both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Podpisy członków obecnych podczas oceny i uprawnionych do głosowania nad daną operacją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spacing w:before="5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588" w:firstLine="0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Miejscowość i Data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before="69" w:lineRule="auto"/>
        <w:ind w:right="104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UWAGA!</w:t>
      </w:r>
    </w:p>
    <w:p w:rsidR="00000000" w:rsidDel="00000000" w:rsidP="00000000" w:rsidRDefault="00000000" w:rsidRPr="00000000" w14:paraId="000000D1">
      <w:pPr>
        <w:spacing w:before="11" w:lineRule="auto"/>
        <w:jc w:val="both"/>
        <w:rPr>
          <w:rFonts w:ascii="Tahoma" w:cs="Tahoma" w:eastAsia="Tahoma" w:hAnsi="Tahoma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56" w:line="256" w:lineRule="auto"/>
        <w:ind w:left="112" w:right="1053" w:firstLine="55"/>
        <w:jc w:val="both"/>
        <w:rPr/>
      </w:pPr>
      <w:r w:rsidDel="00000000" w:rsidR="00000000" w:rsidRPr="00000000">
        <w:rPr>
          <w:rtl w:val="0"/>
        </w:rPr>
        <w:t xml:space="preserve">* Operacja jest zgodna z Programem gdy: -spełnia obowiązujące w naborze warunki udzielenia wsparcia, jest zgodna z formą wsparcia wskazaną w ogłoszeniu o naborze jest zgodna z PROW (2014-2020)</w:t>
      </w:r>
    </w:p>
    <w:p w:rsidR="00000000" w:rsidDel="00000000" w:rsidP="00000000" w:rsidRDefault="00000000" w:rsidRPr="00000000" w14:paraId="000000D3">
      <w:pPr>
        <w:spacing w:before="164" w:line="259" w:lineRule="auto"/>
        <w:ind w:left="112" w:right="-20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Przed udzieleniem odpowiedzi na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pytanie 4.3.,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należy wypełnić kartę </w:t>
      </w:r>
      <w:r w:rsidDel="00000000" w:rsidR="00000000" w:rsidRPr="00000000">
        <w:rPr>
          <w:b w:val="1"/>
          <w:i w:val="1"/>
          <w:rtl w:val="0"/>
        </w:rPr>
        <w:t xml:space="preserve">Weryfikacji zgodności operacji z warunkami przyznania pomocy określonymi w Programie Rozwoju Obszarów Wiejskich na lata 2014-2020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o treści wskazanej w załączniku </w:t>
      </w:r>
      <w:r w:rsidDel="00000000" w:rsidR="00000000" w:rsidRPr="00000000">
        <w:rPr>
          <w:b w:val="1"/>
          <w:rtl w:val="0"/>
        </w:rPr>
        <w:t xml:space="preserve">nr 2 </w:t>
      </w:r>
      <w:r w:rsidDel="00000000" w:rsidR="00000000" w:rsidRPr="00000000">
        <w:rPr>
          <w:rtl w:val="0"/>
        </w:rPr>
        <w:t xml:space="preserve">do Wytycznych MRiRW.</w:t>
      </w:r>
    </w:p>
    <w:p w:rsidR="00000000" w:rsidDel="00000000" w:rsidP="00000000" w:rsidRDefault="00000000" w:rsidRPr="00000000" w14:paraId="000000D4">
      <w:pPr>
        <w:spacing w:before="164" w:lineRule="auto"/>
        <w:ind w:left="112" w:firstLine="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W sytuacji gdy na którekolwiek z pytań wskazanych w pkt 1-3. udzielono odpowiedzi NIE – dopuszcza się pominięcie</w:t>
      </w:r>
    </w:p>
    <w:p w:rsidR="00000000" w:rsidDel="00000000" w:rsidP="00000000" w:rsidRDefault="00000000" w:rsidRPr="00000000" w14:paraId="000000D5">
      <w:pPr>
        <w:spacing w:before="15" w:lineRule="auto"/>
        <w:ind w:left="112" w:firstLine="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weryfikacji zadania z PROW na lata 2014-2020 i oznaczenie odpowiedzi „nie dotyczy” w pytaniu 4 i 4.3.</w:t>
      </w:r>
    </w:p>
    <w:p w:rsidR="00000000" w:rsidDel="00000000" w:rsidP="00000000" w:rsidRDefault="00000000" w:rsidRPr="00000000" w14:paraId="000000D6">
      <w:pPr>
        <w:spacing w:before="6" w:lineRule="auto"/>
        <w:jc w:val="both"/>
        <w:rPr>
          <w:rFonts w:ascii="Tahoma" w:cs="Tahoma" w:eastAsia="Tahoma" w:hAnsi="Tahom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8" w:lineRule="auto"/>
        <w:jc w:val="both"/>
        <w:rPr>
          <w:sz w:val="29"/>
          <w:szCs w:val="29"/>
        </w:rPr>
      </w:pPr>
      <w:r w:rsidDel="00000000" w:rsidR="00000000" w:rsidRPr="00000000">
        <w:rPr>
          <w:rtl w:val="0"/>
        </w:rPr>
        <w:t xml:space="preserve">** Operacja jest zgodna z LSR wówczas, gdy jest zgodna z wszystkimi kryteriami oceny wskazanymi na karcie zgodności z LSR, w tym z programem, w ramach którego jest realizowana oraz zakłada realizację wskaźników LSR,</w:t>
        <w:br w:type="textWrapping"/>
        <w:t xml:space="preserve">a przez to przyczyni się do osiągnięcia celów LSR.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73" w:lineRule="auto"/>
        <w:ind w:right="615"/>
        <w:rPr>
          <w:rFonts w:ascii="Tahoma" w:cs="Tahoma" w:eastAsia="Tahoma" w:hAnsi="Tahoma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40" w:w="11910"/>
      <w:pgMar w:bottom="720" w:top="720" w:left="720" w:right="720" w:header="307" w:footer="292"/>
      <w:pgNumType w:start="1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546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546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❒"/>
      <w:lvlJc w:val="left"/>
      <w:pPr>
        <w:ind w:left="518" w:hanging="418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658" w:hanging="418"/>
      </w:pPr>
      <w:rPr/>
    </w:lvl>
    <w:lvl w:ilvl="2">
      <w:start w:val="1"/>
      <w:numFmt w:val="bullet"/>
      <w:lvlText w:val="•"/>
      <w:lvlJc w:val="left"/>
      <w:pPr>
        <w:ind w:left="797" w:hanging="417.99999999999994"/>
      </w:pPr>
      <w:rPr/>
    </w:lvl>
    <w:lvl w:ilvl="3">
      <w:start w:val="1"/>
      <w:numFmt w:val="bullet"/>
      <w:lvlText w:val="•"/>
      <w:lvlJc w:val="left"/>
      <w:pPr>
        <w:ind w:left="935" w:hanging="418"/>
      </w:pPr>
      <w:rPr/>
    </w:lvl>
    <w:lvl w:ilvl="4">
      <w:start w:val="1"/>
      <w:numFmt w:val="bullet"/>
      <w:lvlText w:val="•"/>
      <w:lvlJc w:val="left"/>
      <w:pPr>
        <w:ind w:left="1074" w:hanging="417.9999999999999"/>
      </w:pPr>
      <w:rPr/>
    </w:lvl>
    <w:lvl w:ilvl="5">
      <w:start w:val="1"/>
      <w:numFmt w:val="bullet"/>
      <w:lvlText w:val="•"/>
      <w:lvlJc w:val="left"/>
      <w:pPr>
        <w:ind w:left="1213" w:hanging="418"/>
      </w:pPr>
      <w:rPr/>
    </w:lvl>
    <w:lvl w:ilvl="6">
      <w:start w:val="1"/>
      <w:numFmt w:val="bullet"/>
      <w:lvlText w:val="•"/>
      <w:lvlJc w:val="left"/>
      <w:pPr>
        <w:ind w:left="1351" w:hanging="418"/>
      </w:pPr>
      <w:rPr/>
    </w:lvl>
    <w:lvl w:ilvl="7">
      <w:start w:val="1"/>
      <w:numFmt w:val="bullet"/>
      <w:lvlText w:val="•"/>
      <w:lvlJc w:val="left"/>
      <w:pPr>
        <w:ind w:left="1490" w:hanging="418"/>
      </w:pPr>
      <w:rPr/>
    </w:lvl>
    <w:lvl w:ilvl="8">
      <w:start w:val="1"/>
      <w:numFmt w:val="bullet"/>
      <w:lvlText w:val="•"/>
      <w:lvlJc w:val="left"/>
      <w:pPr>
        <w:ind w:left="1628" w:hanging="417.9999999999998"/>
      </w:pPr>
      <w:rPr/>
    </w:lvl>
  </w:abstractNum>
  <w:abstractNum w:abstractNumId="2">
    <w:lvl w:ilvl="0">
      <w:start w:val="1"/>
      <w:numFmt w:val="bullet"/>
      <w:lvlText w:val="❒"/>
      <w:lvlJc w:val="left"/>
      <w:pPr>
        <w:ind w:left="518" w:hanging="418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658" w:hanging="418"/>
      </w:pPr>
      <w:rPr/>
    </w:lvl>
    <w:lvl w:ilvl="2">
      <w:start w:val="1"/>
      <w:numFmt w:val="bullet"/>
      <w:lvlText w:val="•"/>
      <w:lvlJc w:val="left"/>
      <w:pPr>
        <w:ind w:left="797" w:hanging="417.99999999999994"/>
      </w:pPr>
      <w:rPr/>
    </w:lvl>
    <w:lvl w:ilvl="3">
      <w:start w:val="1"/>
      <w:numFmt w:val="bullet"/>
      <w:lvlText w:val="•"/>
      <w:lvlJc w:val="left"/>
      <w:pPr>
        <w:ind w:left="935" w:hanging="418"/>
      </w:pPr>
      <w:rPr/>
    </w:lvl>
    <w:lvl w:ilvl="4">
      <w:start w:val="1"/>
      <w:numFmt w:val="bullet"/>
      <w:lvlText w:val="•"/>
      <w:lvlJc w:val="left"/>
      <w:pPr>
        <w:ind w:left="1074" w:hanging="417.9999999999999"/>
      </w:pPr>
      <w:rPr/>
    </w:lvl>
    <w:lvl w:ilvl="5">
      <w:start w:val="1"/>
      <w:numFmt w:val="bullet"/>
      <w:lvlText w:val="•"/>
      <w:lvlJc w:val="left"/>
      <w:pPr>
        <w:ind w:left="1213" w:hanging="418"/>
      </w:pPr>
      <w:rPr/>
    </w:lvl>
    <w:lvl w:ilvl="6">
      <w:start w:val="1"/>
      <w:numFmt w:val="bullet"/>
      <w:lvlText w:val="•"/>
      <w:lvlJc w:val="left"/>
      <w:pPr>
        <w:ind w:left="1351" w:hanging="418"/>
      </w:pPr>
      <w:rPr/>
    </w:lvl>
    <w:lvl w:ilvl="7">
      <w:start w:val="1"/>
      <w:numFmt w:val="bullet"/>
      <w:lvlText w:val="•"/>
      <w:lvlJc w:val="left"/>
      <w:pPr>
        <w:ind w:left="1490" w:hanging="418"/>
      </w:pPr>
      <w:rPr/>
    </w:lvl>
    <w:lvl w:ilvl="8">
      <w:start w:val="1"/>
      <w:numFmt w:val="bullet"/>
      <w:lvlText w:val="•"/>
      <w:lvlJc w:val="left"/>
      <w:pPr>
        <w:ind w:left="1628" w:hanging="417.999999999999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2166" w:right="163" w:hanging="2067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826" w:hanging="720"/>
    </w:pPr>
    <w:rPr>
      <w:b w:val="1"/>
    </w:rPr>
  </w:style>
  <w:style w:type="paragraph" w:styleId="Heading3">
    <w:name w:val="heading 3"/>
    <w:basedOn w:val="Normal"/>
    <w:next w:val="Normal"/>
    <w:pPr>
      <w:ind w:left="546" w:right="163"/>
    </w:pPr>
    <w:rPr>
      <w:b w:val="1"/>
      <w:i w:val="1"/>
    </w:rPr>
  </w:style>
  <w:style w:type="paragraph" w:styleId="Heading4">
    <w:name w:val="heading 4"/>
    <w:basedOn w:val="Normal"/>
    <w:next w:val="Normal"/>
    <w:pPr>
      <w:ind w:left="543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D53001"/>
    <w:pPr>
      <w:widowControl w:val="0"/>
      <w:spacing w:after="0" w:line="240" w:lineRule="auto"/>
    </w:pPr>
    <w:rPr>
      <w:rFonts w:ascii="Calibri" w:cs="Calibri" w:eastAsia="Calibri" w:hAnsi="Calibri"/>
      <w:lang w:val="en-US"/>
    </w:rPr>
  </w:style>
  <w:style w:type="paragraph" w:styleId="Nagwek1">
    <w:name w:val="heading 1"/>
    <w:basedOn w:val="Normalny"/>
    <w:link w:val="Nagwek1Znak"/>
    <w:uiPriority w:val="1"/>
    <w:qFormat w:val="1"/>
    <w:rsid w:val="00D53001"/>
    <w:pPr>
      <w:spacing w:before="2"/>
      <w:ind w:left="2166" w:right="163" w:hanging="2067"/>
      <w:outlineLvl w:val="0"/>
    </w:pPr>
    <w:rPr>
      <w:b w:val="1"/>
      <w:bCs w:val="1"/>
      <w:sz w:val="26"/>
      <w:szCs w:val="26"/>
    </w:rPr>
  </w:style>
  <w:style w:type="paragraph" w:styleId="Nagwek2">
    <w:name w:val="heading 2"/>
    <w:basedOn w:val="Normalny"/>
    <w:link w:val="Nagwek2Znak"/>
    <w:uiPriority w:val="1"/>
    <w:qFormat w:val="1"/>
    <w:rsid w:val="00D53001"/>
    <w:pPr>
      <w:ind w:left="826" w:hanging="720"/>
      <w:outlineLvl w:val="1"/>
    </w:pPr>
    <w:rPr>
      <w:b w:val="1"/>
      <w:bCs w:val="1"/>
    </w:rPr>
  </w:style>
  <w:style w:type="paragraph" w:styleId="Nagwek3">
    <w:name w:val="heading 3"/>
    <w:basedOn w:val="Normalny"/>
    <w:link w:val="Nagwek3Znak"/>
    <w:uiPriority w:val="1"/>
    <w:qFormat w:val="1"/>
    <w:rsid w:val="00D53001"/>
    <w:pPr>
      <w:ind w:left="546" w:right="163"/>
      <w:outlineLvl w:val="2"/>
    </w:pPr>
    <w:rPr>
      <w:b w:val="1"/>
      <w:bCs w:val="1"/>
      <w:i w:val="1"/>
    </w:rPr>
  </w:style>
  <w:style w:type="paragraph" w:styleId="Nagwek4">
    <w:name w:val="heading 4"/>
    <w:basedOn w:val="Normalny"/>
    <w:link w:val="Nagwek4Znak"/>
    <w:uiPriority w:val="1"/>
    <w:qFormat w:val="1"/>
    <w:rsid w:val="00D53001"/>
    <w:pPr>
      <w:ind w:left="543"/>
      <w:outlineLvl w:val="3"/>
    </w:pPr>
    <w:rPr>
      <w:b w:val="1"/>
      <w:bCs w:val="1"/>
      <w:i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1"/>
    <w:rsid w:val="00D53001"/>
    <w:rPr>
      <w:rFonts w:ascii="Calibri" w:cs="Calibri" w:eastAsia="Calibri" w:hAnsi="Calibri"/>
      <w:b w:val="1"/>
      <w:bCs w:val="1"/>
      <w:sz w:val="26"/>
      <w:szCs w:val="26"/>
      <w:lang w:val="en-US"/>
    </w:rPr>
  </w:style>
  <w:style w:type="character" w:styleId="Nagwek2Znak" w:customStyle="1">
    <w:name w:val="Nagłówek 2 Znak"/>
    <w:basedOn w:val="Domylnaczcionkaakapitu"/>
    <w:link w:val="Nagwek2"/>
    <w:uiPriority w:val="1"/>
    <w:rsid w:val="00D53001"/>
    <w:rPr>
      <w:rFonts w:ascii="Calibri" w:cs="Calibri" w:eastAsia="Calibri" w:hAnsi="Calibri"/>
      <w:b w:val="1"/>
      <w:bCs w:val="1"/>
      <w:lang w:val="en-US"/>
    </w:rPr>
  </w:style>
  <w:style w:type="character" w:styleId="Nagwek3Znak" w:customStyle="1">
    <w:name w:val="Nagłówek 3 Znak"/>
    <w:basedOn w:val="Domylnaczcionkaakapitu"/>
    <w:link w:val="Nagwek3"/>
    <w:uiPriority w:val="1"/>
    <w:rsid w:val="00D53001"/>
    <w:rPr>
      <w:rFonts w:ascii="Calibri" w:cs="Calibri" w:eastAsia="Calibri" w:hAnsi="Calibri"/>
      <w:b w:val="1"/>
      <w:bCs w:val="1"/>
      <w:i w:val="1"/>
      <w:lang w:val="en-US"/>
    </w:rPr>
  </w:style>
  <w:style w:type="character" w:styleId="Nagwek4Znak" w:customStyle="1">
    <w:name w:val="Nagłówek 4 Znak"/>
    <w:basedOn w:val="Domylnaczcionkaakapitu"/>
    <w:link w:val="Nagwek4"/>
    <w:uiPriority w:val="1"/>
    <w:rsid w:val="00D53001"/>
    <w:rPr>
      <w:rFonts w:ascii="Calibri" w:cs="Calibri" w:eastAsia="Calibri" w:hAnsi="Calibri"/>
      <w:b w:val="1"/>
      <w:bCs w:val="1"/>
      <w:i w:val="1"/>
      <w:lang w:val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D53001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link w:val="TekstpodstawowyZnak"/>
    <w:uiPriority w:val="1"/>
    <w:qFormat w:val="1"/>
    <w:rsid w:val="00D53001"/>
    <w:pPr>
      <w:ind w:left="546" w:hanging="360"/>
    </w:pPr>
  </w:style>
  <w:style w:type="character" w:styleId="TekstpodstawowyZnak" w:customStyle="1">
    <w:name w:val="Tekst podstawowy Znak"/>
    <w:basedOn w:val="Domylnaczcionkaakapitu"/>
    <w:link w:val="Tekstpodstawowy"/>
    <w:uiPriority w:val="1"/>
    <w:rsid w:val="00D53001"/>
    <w:rPr>
      <w:rFonts w:ascii="Calibri" w:cs="Calibri" w:eastAsia="Calibri" w:hAnsi="Calibri"/>
      <w:lang w:val="en-US"/>
    </w:rPr>
  </w:style>
  <w:style w:type="paragraph" w:styleId="Akapitzlist">
    <w:name w:val="List Paragraph"/>
    <w:basedOn w:val="Normalny"/>
    <w:uiPriority w:val="34"/>
    <w:qFormat w:val="1"/>
    <w:rsid w:val="00D53001"/>
    <w:pPr>
      <w:ind w:left="546" w:hanging="360"/>
      <w:jc w:val="both"/>
    </w:pPr>
  </w:style>
  <w:style w:type="paragraph" w:styleId="TableParagraph" w:customStyle="1">
    <w:name w:val="Table Paragraph"/>
    <w:basedOn w:val="Normalny"/>
    <w:uiPriority w:val="1"/>
    <w:qFormat w:val="1"/>
    <w:rsid w:val="00D53001"/>
  </w:style>
  <w:style w:type="paragraph" w:styleId="Nagwek">
    <w:name w:val="header"/>
    <w:basedOn w:val="Normalny"/>
    <w:link w:val="NagwekZnak"/>
    <w:uiPriority w:val="99"/>
    <w:unhideWhenUsed w:val="1"/>
    <w:rsid w:val="00D5300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53001"/>
    <w:rPr>
      <w:rFonts w:ascii="Calibri" w:cs="Calibri" w:eastAsia="Calibri" w:hAnsi="Calibri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D5300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53001"/>
    <w:rPr>
      <w:rFonts w:ascii="Calibri" w:cs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5300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53001"/>
    <w:rPr>
      <w:rFonts w:ascii="Segoe UI" w:cs="Segoe UI" w:eastAsia="Calibri" w:hAnsi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C6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C644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C644A"/>
    <w:rPr>
      <w:rFonts w:ascii="Calibri" w:cs="Calibri" w:eastAsia="Calibri" w:hAnsi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C644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C644A"/>
    <w:rPr>
      <w:rFonts w:ascii="Calibri" w:cs="Calibri" w:eastAsia="Calibri" w:hAnsi="Calibri"/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/UkhTfZRbXwLDjVtn0mYJnOKw==">AMUW2mUtfS4U4LrCwD4OxJZEb4eBTW1G1JtK/RfPEjg+ktvrS08MpgUb5TEYnDiEGaishPUXJj3+6f8gWHHFNjUVMRsPNaO+MFjA7hpURk+iypv/nxlbYjCY4f0kZfIvRleCad22MEOt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2020-07-08T09:50:00Z</dcterms:created>
  <dc:creator>LGD Partnerstwo na Jurze</dc:creator>
</cp:coreProperties>
</file>